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5D895">
      <w:pPr>
        <w:spacing w:line="400" w:lineRule="exact"/>
        <w:ind w:firstLine="643" w:firstLineChars="200"/>
        <w:rPr>
          <w:sz w:val="32"/>
          <w:szCs w:val="32"/>
        </w:rPr>
      </w:pPr>
      <w:bookmarkStart w:id="0" w:name="OLE_LINK2"/>
      <w:r>
        <w:rPr>
          <w:b/>
          <w:bCs/>
          <w:color w:val="FF0000"/>
          <w:sz w:val="32"/>
          <w:szCs w:val="32"/>
        </w:rPr>
        <w:t>莆田市拍卖出让PS拍-2025-08号地块国有建设用地使用权公告</w:t>
      </w:r>
    </w:p>
    <w:p w14:paraId="02D29962">
      <w:pPr>
        <w:adjustRightInd w:val="0"/>
        <w:snapToGrid w:val="0"/>
        <w:spacing w:line="400" w:lineRule="exact"/>
        <w:ind w:firstLine="560" w:firstLineChars="200"/>
        <w:rPr>
          <w:color w:val="000000"/>
          <w:sz w:val="28"/>
          <w:szCs w:val="28"/>
        </w:rPr>
      </w:pPr>
      <w:r>
        <w:rPr>
          <w:color w:val="000000"/>
          <w:sz w:val="28"/>
          <w:szCs w:val="28"/>
        </w:rPr>
        <w:t>经莆田市人民政府批</w:t>
      </w:r>
      <w:r>
        <w:rPr>
          <w:sz w:val="28"/>
          <w:szCs w:val="28"/>
        </w:rPr>
        <w:t>准，莆田市自然资源局委托厦门会丰拍卖有限责任公司于2025年6月2</w:t>
      </w:r>
      <w:r>
        <w:rPr>
          <w:rFonts w:hint="eastAsia"/>
          <w:sz w:val="28"/>
          <w:szCs w:val="28"/>
          <w:lang w:val="en-US" w:eastAsia="zh-CN"/>
        </w:rPr>
        <w:t>5</w:t>
      </w:r>
      <w:r>
        <w:rPr>
          <w:sz w:val="28"/>
          <w:szCs w:val="28"/>
        </w:rPr>
        <w:t>日</w:t>
      </w:r>
      <w:r>
        <w:rPr>
          <w:color w:val="000000" w:themeColor="text1"/>
          <w:sz w:val="28"/>
          <w:szCs w:val="28"/>
          <w14:textFill>
            <w14:solidFill>
              <w14:schemeClr w14:val="tx1"/>
            </w14:solidFill>
          </w14:textFill>
        </w:rPr>
        <w:t>上午10时</w:t>
      </w:r>
      <w:r>
        <w:rPr>
          <w:sz w:val="28"/>
          <w:szCs w:val="28"/>
        </w:rPr>
        <w:t>在莆田市政务服务中心</w:t>
      </w:r>
      <w:r>
        <w:rPr>
          <w:color w:val="000000"/>
          <w:sz w:val="28"/>
          <w:szCs w:val="28"/>
        </w:rPr>
        <w:t xml:space="preserve">三层拍卖大厅公开拍卖PS拍-2025-08号地块的国有建设用地使用权。现将有关事项公告如下： </w:t>
      </w:r>
    </w:p>
    <w:p w14:paraId="6453027E">
      <w:pPr>
        <w:adjustRightInd w:val="0"/>
        <w:snapToGrid w:val="0"/>
        <w:spacing w:line="400" w:lineRule="exact"/>
        <w:ind w:firstLine="560" w:firstLineChars="200"/>
        <w:rPr>
          <w:color w:val="000000"/>
          <w:sz w:val="28"/>
          <w:szCs w:val="28"/>
        </w:rPr>
      </w:pPr>
      <w:r>
        <w:rPr>
          <w:color w:val="000000"/>
          <w:sz w:val="28"/>
          <w:szCs w:val="28"/>
        </w:rPr>
        <w:t>一、 出让地块的基本情况规划指标要求</w:t>
      </w:r>
    </w:p>
    <w:tbl>
      <w:tblPr>
        <w:tblStyle w:val="10"/>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922"/>
        <w:gridCol w:w="2127"/>
        <w:gridCol w:w="1876"/>
        <w:gridCol w:w="1470"/>
        <w:gridCol w:w="1580"/>
        <w:gridCol w:w="852"/>
        <w:gridCol w:w="1047"/>
      </w:tblGrid>
      <w:tr w14:paraId="15F37BA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1922" w:type="dxa"/>
            <w:tcBorders>
              <w:top w:val="single" w:color="auto" w:sz="8" w:space="0"/>
              <w:left w:val="single" w:color="auto" w:sz="8" w:space="0"/>
              <w:bottom w:val="single" w:color="auto" w:sz="8" w:space="0"/>
              <w:right w:val="single" w:color="auto" w:sz="8" w:space="0"/>
            </w:tcBorders>
            <w:vAlign w:val="center"/>
          </w:tcPr>
          <w:p w14:paraId="5F9376F6">
            <w:pPr>
              <w:widowControl/>
              <w:adjustRightInd w:val="0"/>
              <w:snapToGrid w:val="0"/>
              <w:spacing w:before="100" w:beforeAutospacing="1" w:after="100" w:afterAutospacing="1" w:line="400" w:lineRule="exact"/>
              <w:jc w:val="center"/>
              <w:rPr>
                <w:bCs/>
                <w:sz w:val="28"/>
                <w:szCs w:val="28"/>
              </w:rPr>
            </w:pPr>
            <w:r>
              <w:rPr>
                <w:bCs/>
                <w:sz w:val="28"/>
                <w:szCs w:val="28"/>
              </w:rPr>
              <w:t>地块编号</w:t>
            </w:r>
          </w:p>
        </w:tc>
        <w:tc>
          <w:tcPr>
            <w:tcW w:w="2127" w:type="dxa"/>
            <w:tcBorders>
              <w:top w:val="single" w:color="auto" w:sz="8" w:space="0"/>
              <w:left w:val="single" w:color="auto" w:sz="8" w:space="0"/>
              <w:bottom w:val="single" w:color="auto" w:sz="8" w:space="0"/>
              <w:right w:val="single" w:color="auto" w:sz="8" w:space="0"/>
            </w:tcBorders>
            <w:vAlign w:val="center"/>
          </w:tcPr>
          <w:p w14:paraId="3747AE62">
            <w:pPr>
              <w:widowControl/>
              <w:adjustRightInd w:val="0"/>
              <w:snapToGrid w:val="0"/>
              <w:spacing w:before="100" w:beforeAutospacing="1" w:after="100" w:afterAutospacing="1" w:line="400" w:lineRule="exact"/>
              <w:jc w:val="center"/>
              <w:rPr>
                <w:bCs/>
                <w:sz w:val="28"/>
                <w:szCs w:val="28"/>
              </w:rPr>
            </w:pPr>
            <w:r>
              <w:rPr>
                <w:bCs/>
                <w:sz w:val="28"/>
                <w:szCs w:val="28"/>
              </w:rPr>
              <w:t>土地位置</w:t>
            </w:r>
          </w:p>
        </w:tc>
        <w:tc>
          <w:tcPr>
            <w:tcW w:w="1876" w:type="dxa"/>
            <w:tcBorders>
              <w:top w:val="single" w:color="auto" w:sz="8" w:space="0"/>
              <w:left w:val="single" w:color="auto" w:sz="8" w:space="0"/>
              <w:bottom w:val="single" w:color="auto" w:sz="8" w:space="0"/>
              <w:right w:val="single" w:color="auto" w:sz="8" w:space="0"/>
            </w:tcBorders>
            <w:vAlign w:val="center"/>
          </w:tcPr>
          <w:p w14:paraId="53F9B879">
            <w:pPr>
              <w:widowControl/>
              <w:adjustRightInd w:val="0"/>
              <w:snapToGrid w:val="0"/>
              <w:spacing w:before="100" w:beforeAutospacing="1" w:after="100" w:afterAutospacing="1" w:line="400" w:lineRule="exact"/>
              <w:jc w:val="center"/>
              <w:rPr>
                <w:bCs/>
                <w:sz w:val="28"/>
                <w:szCs w:val="28"/>
              </w:rPr>
            </w:pPr>
            <w:r>
              <w:rPr>
                <w:bCs/>
                <w:sz w:val="28"/>
                <w:szCs w:val="28"/>
              </w:rPr>
              <w:t>土地用途</w:t>
            </w:r>
          </w:p>
        </w:tc>
        <w:tc>
          <w:tcPr>
            <w:tcW w:w="1470" w:type="dxa"/>
            <w:tcBorders>
              <w:top w:val="single" w:color="auto" w:sz="8" w:space="0"/>
              <w:left w:val="single" w:color="auto" w:sz="8" w:space="0"/>
              <w:bottom w:val="single" w:color="auto" w:sz="8" w:space="0"/>
              <w:right w:val="single" w:color="auto" w:sz="8" w:space="0"/>
            </w:tcBorders>
            <w:vAlign w:val="center"/>
          </w:tcPr>
          <w:p w14:paraId="2E26CFC0">
            <w:pPr>
              <w:widowControl/>
              <w:adjustRightInd w:val="0"/>
              <w:snapToGrid w:val="0"/>
              <w:spacing w:before="100" w:beforeAutospacing="1" w:after="100" w:afterAutospacing="1" w:line="400" w:lineRule="exact"/>
              <w:jc w:val="center"/>
              <w:rPr>
                <w:bCs/>
                <w:sz w:val="28"/>
                <w:szCs w:val="28"/>
              </w:rPr>
            </w:pPr>
            <w:r>
              <w:rPr>
                <w:bCs/>
                <w:sz w:val="28"/>
                <w:szCs w:val="28"/>
              </w:rPr>
              <w:t>土地面积</w:t>
            </w:r>
          </w:p>
          <w:p w14:paraId="21FCD1C4">
            <w:pPr>
              <w:widowControl/>
              <w:adjustRightInd w:val="0"/>
              <w:snapToGrid w:val="0"/>
              <w:spacing w:before="100" w:beforeAutospacing="1" w:after="100" w:afterAutospacing="1" w:line="400" w:lineRule="exact"/>
              <w:jc w:val="center"/>
              <w:rPr>
                <w:bCs/>
                <w:sz w:val="28"/>
                <w:szCs w:val="28"/>
              </w:rPr>
            </w:pPr>
            <w:r>
              <w:rPr>
                <w:bCs/>
                <w:sz w:val="28"/>
                <w:szCs w:val="28"/>
              </w:rPr>
              <w:t>（平方米）</w:t>
            </w:r>
          </w:p>
        </w:tc>
        <w:tc>
          <w:tcPr>
            <w:tcW w:w="1580" w:type="dxa"/>
            <w:tcBorders>
              <w:top w:val="single" w:color="auto" w:sz="8" w:space="0"/>
              <w:left w:val="single" w:color="auto" w:sz="8" w:space="0"/>
              <w:bottom w:val="single" w:color="auto" w:sz="8" w:space="0"/>
              <w:right w:val="single" w:color="auto" w:sz="8" w:space="0"/>
            </w:tcBorders>
            <w:vAlign w:val="center"/>
          </w:tcPr>
          <w:p w14:paraId="7B081DF2">
            <w:pPr>
              <w:widowControl/>
              <w:adjustRightInd w:val="0"/>
              <w:snapToGrid w:val="0"/>
              <w:spacing w:before="100" w:beforeAutospacing="1" w:after="100" w:afterAutospacing="1" w:line="400" w:lineRule="exact"/>
              <w:jc w:val="center"/>
              <w:rPr>
                <w:bCs/>
                <w:sz w:val="28"/>
                <w:szCs w:val="28"/>
              </w:rPr>
            </w:pPr>
            <w:r>
              <w:rPr>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0171D3A4">
            <w:pPr>
              <w:widowControl/>
              <w:adjustRightInd w:val="0"/>
              <w:snapToGrid w:val="0"/>
              <w:spacing w:before="100" w:beforeAutospacing="1" w:after="100" w:afterAutospacing="1" w:line="400" w:lineRule="exact"/>
              <w:jc w:val="center"/>
              <w:rPr>
                <w:bCs/>
                <w:sz w:val="28"/>
                <w:szCs w:val="28"/>
              </w:rPr>
            </w:pPr>
            <w:r>
              <w:rPr>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6D0DE79">
            <w:pPr>
              <w:widowControl/>
              <w:adjustRightInd w:val="0"/>
              <w:snapToGrid w:val="0"/>
              <w:spacing w:before="100" w:beforeAutospacing="1" w:after="100" w:afterAutospacing="1" w:line="400" w:lineRule="exact"/>
              <w:jc w:val="center"/>
              <w:rPr>
                <w:bCs/>
                <w:sz w:val="28"/>
                <w:szCs w:val="28"/>
              </w:rPr>
            </w:pPr>
            <w:r>
              <w:rPr>
                <w:bCs/>
                <w:sz w:val="28"/>
                <w:szCs w:val="28"/>
              </w:rPr>
              <w:t>竞买保证金（万元）</w:t>
            </w:r>
          </w:p>
        </w:tc>
      </w:tr>
      <w:tr w14:paraId="6DB1CCD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10" w:hRule="atLeast"/>
          <w:jc w:val="center"/>
        </w:trPr>
        <w:tc>
          <w:tcPr>
            <w:tcW w:w="1922" w:type="dxa"/>
            <w:tcBorders>
              <w:top w:val="single" w:color="auto" w:sz="8" w:space="0"/>
              <w:left w:val="single" w:color="auto" w:sz="8" w:space="0"/>
              <w:bottom w:val="single" w:color="auto" w:sz="8" w:space="0"/>
              <w:right w:val="single" w:color="auto" w:sz="8" w:space="0"/>
            </w:tcBorders>
            <w:vAlign w:val="center"/>
          </w:tcPr>
          <w:p w14:paraId="38DBCE1C">
            <w:pPr>
              <w:widowControl/>
              <w:adjustRightInd w:val="0"/>
              <w:snapToGrid w:val="0"/>
              <w:spacing w:before="100" w:beforeAutospacing="1" w:after="100" w:afterAutospacing="1" w:line="400" w:lineRule="exact"/>
              <w:jc w:val="center"/>
              <w:rPr>
                <w:rFonts w:hint="eastAsia" w:eastAsia="宋体"/>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PS拍-2025-08号</w:t>
            </w:r>
            <w:r>
              <w:rPr>
                <w:rFonts w:hint="eastAsia"/>
                <w:color w:val="000000" w:themeColor="text1"/>
                <w:sz w:val="28"/>
                <w:szCs w:val="28"/>
                <w:lang w:eastAsia="zh-CN"/>
                <w14:textFill>
                  <w14:solidFill>
                    <w14:schemeClr w14:val="tx1"/>
                  </w14:solidFill>
                </w14:textFill>
              </w:rPr>
              <w:t>（</w:t>
            </w:r>
            <w:r>
              <w:rPr>
                <w:color w:val="000000" w:themeColor="text1"/>
                <w:sz w:val="28"/>
                <w:szCs w:val="28"/>
                <w14:textFill>
                  <w14:solidFill>
                    <w14:schemeClr w14:val="tx1"/>
                  </w14:solidFill>
                </w14:textFill>
              </w:rPr>
              <w:t>城厢区木兰溪法治文化公园北侧地块</w:t>
            </w:r>
            <w:r>
              <w:rPr>
                <w:rFonts w:hint="eastAsia"/>
                <w:color w:val="000000" w:themeColor="text1"/>
                <w:sz w:val="28"/>
                <w:szCs w:val="28"/>
                <w:lang w:eastAsia="zh-CN"/>
                <w14:textFill>
                  <w14:solidFill>
                    <w14:schemeClr w14:val="tx1"/>
                  </w14:solidFill>
                </w14:textFill>
              </w:rPr>
              <w:t>）</w:t>
            </w:r>
          </w:p>
        </w:tc>
        <w:tc>
          <w:tcPr>
            <w:tcW w:w="2127" w:type="dxa"/>
            <w:tcBorders>
              <w:top w:val="single" w:color="auto" w:sz="8" w:space="0"/>
              <w:left w:val="single" w:color="auto" w:sz="8" w:space="0"/>
              <w:bottom w:val="single" w:color="auto" w:sz="8" w:space="0"/>
              <w:right w:val="single" w:color="auto" w:sz="8" w:space="0"/>
            </w:tcBorders>
            <w:vAlign w:val="center"/>
          </w:tcPr>
          <w:p w14:paraId="59E32742">
            <w:pPr>
              <w:widowControl/>
              <w:adjustRightInd w:val="0"/>
              <w:snapToGrid w:val="0"/>
              <w:spacing w:before="100" w:beforeAutospacing="1" w:after="100" w:afterAutospacing="1" w:line="400" w:lineRule="exact"/>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莆田市沟头顶墩分区单元控规范围内</w:t>
            </w:r>
          </w:p>
        </w:tc>
        <w:tc>
          <w:tcPr>
            <w:tcW w:w="1876" w:type="dxa"/>
            <w:tcBorders>
              <w:top w:val="single" w:color="auto" w:sz="8" w:space="0"/>
              <w:left w:val="single" w:color="auto" w:sz="8" w:space="0"/>
              <w:bottom w:val="single" w:color="auto" w:sz="8" w:space="0"/>
              <w:right w:val="single" w:color="auto" w:sz="8" w:space="0"/>
            </w:tcBorders>
            <w:vAlign w:val="center"/>
          </w:tcPr>
          <w:p w14:paraId="15F7CB8F">
            <w:pPr>
              <w:widowControl/>
              <w:adjustRightInd w:val="0"/>
              <w:snapToGrid w:val="0"/>
              <w:spacing w:before="100" w:beforeAutospacing="1" w:after="100" w:afterAutospacing="1" w:line="400" w:lineRule="exact"/>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商业服务业用地-商业用地-零售商业用地（全部自持，不可销售、不可分割登记）</w:t>
            </w:r>
          </w:p>
        </w:tc>
        <w:tc>
          <w:tcPr>
            <w:tcW w:w="1470" w:type="dxa"/>
            <w:tcBorders>
              <w:top w:val="single" w:color="auto" w:sz="8" w:space="0"/>
              <w:left w:val="single" w:color="auto" w:sz="8" w:space="0"/>
              <w:bottom w:val="single" w:color="auto" w:sz="8" w:space="0"/>
              <w:right w:val="single" w:color="auto" w:sz="8" w:space="0"/>
            </w:tcBorders>
            <w:vAlign w:val="center"/>
          </w:tcPr>
          <w:p w14:paraId="5E48EA9D">
            <w:pPr>
              <w:widowControl/>
              <w:adjustRightInd w:val="0"/>
              <w:snapToGrid w:val="0"/>
              <w:spacing w:before="100" w:beforeAutospacing="1" w:after="100" w:afterAutospacing="1" w:line="400" w:lineRule="exact"/>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6703.7</w:t>
            </w:r>
          </w:p>
        </w:tc>
        <w:tc>
          <w:tcPr>
            <w:tcW w:w="1580" w:type="dxa"/>
            <w:tcBorders>
              <w:top w:val="single" w:color="auto" w:sz="8" w:space="0"/>
              <w:left w:val="single" w:color="auto" w:sz="8" w:space="0"/>
              <w:bottom w:val="single" w:color="auto" w:sz="8" w:space="0"/>
              <w:right w:val="single" w:color="auto" w:sz="8" w:space="0"/>
            </w:tcBorders>
            <w:vAlign w:val="center"/>
          </w:tcPr>
          <w:p w14:paraId="2E5D75AF">
            <w:pPr>
              <w:widowControl/>
              <w:adjustRightInd w:val="0"/>
              <w:snapToGrid w:val="0"/>
              <w:spacing w:before="100" w:beforeAutospacing="1" w:after="100" w:afterAutospacing="1" w:line="400" w:lineRule="exact"/>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40年</w:t>
            </w:r>
          </w:p>
        </w:tc>
        <w:tc>
          <w:tcPr>
            <w:tcW w:w="852" w:type="dxa"/>
            <w:tcBorders>
              <w:top w:val="single" w:color="auto" w:sz="8" w:space="0"/>
              <w:left w:val="single" w:color="auto" w:sz="8" w:space="0"/>
              <w:bottom w:val="single" w:color="auto" w:sz="8" w:space="0"/>
              <w:right w:val="single" w:color="auto" w:sz="8" w:space="0"/>
            </w:tcBorders>
            <w:vAlign w:val="center"/>
          </w:tcPr>
          <w:p w14:paraId="52787C96">
            <w:pPr>
              <w:widowControl/>
              <w:adjustRightInd w:val="0"/>
              <w:snapToGrid w:val="0"/>
              <w:spacing w:before="100" w:beforeAutospacing="1" w:after="100" w:afterAutospacing="1" w:line="400" w:lineRule="exact"/>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7350614D">
            <w:pPr>
              <w:widowControl/>
              <w:adjustRightInd w:val="0"/>
              <w:snapToGrid w:val="0"/>
              <w:spacing w:before="100" w:beforeAutospacing="1" w:after="100" w:afterAutospacing="1" w:line="400" w:lineRule="exact"/>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1050</w:t>
            </w:r>
          </w:p>
        </w:tc>
      </w:tr>
    </w:tbl>
    <w:p w14:paraId="1FF052C4">
      <w:pPr>
        <w:adjustRightInd w:val="0"/>
        <w:snapToGrid w:val="0"/>
        <w:spacing w:line="400" w:lineRule="exact"/>
        <w:ind w:firstLine="560" w:firstLineChars="200"/>
        <w:rPr>
          <w:color w:val="0C0C0C"/>
          <w:sz w:val="28"/>
          <w:szCs w:val="28"/>
        </w:rPr>
      </w:pPr>
      <w:r>
        <w:rPr>
          <w:color w:val="000000" w:themeColor="text1"/>
          <w:sz w:val="28"/>
          <w:szCs w:val="28"/>
          <w14:textFill>
            <w14:solidFill>
              <w14:schemeClr w14:val="tx1"/>
            </w14:solidFill>
          </w14:textFill>
        </w:rPr>
        <w:t>该宗地出让规划条件以莆田市自然资源局莆自然资审〔2025〕20</w:t>
      </w:r>
      <w:r>
        <w:rPr>
          <w:rFonts w:hint="eastAsia"/>
          <w:color w:val="000000" w:themeColor="text1"/>
          <w:sz w:val="28"/>
          <w:szCs w:val="28"/>
          <w:lang w:val="en-US" w:eastAsia="zh-CN"/>
          <w14:textFill>
            <w14:solidFill>
              <w14:schemeClr w14:val="tx1"/>
            </w14:solidFill>
          </w14:textFill>
        </w:rPr>
        <w:t>、23</w:t>
      </w:r>
      <w:r>
        <w:rPr>
          <w:color w:val="000000" w:themeColor="text1"/>
          <w:sz w:val="28"/>
          <w:szCs w:val="28"/>
          <w14:textFill>
            <w14:solidFill>
              <w14:schemeClr w14:val="tx1"/>
            </w14:solidFill>
          </w14:textFill>
        </w:rPr>
        <w:t>号文件为准，该宗地需对外开</w:t>
      </w:r>
      <w:r>
        <w:rPr>
          <w:rFonts w:hint="eastAsia"/>
          <w:color w:val="000000" w:themeColor="text1"/>
          <w:sz w:val="28"/>
          <w:szCs w:val="28"/>
          <w:lang w:eastAsia="zh-CN"/>
          <w14:textFill>
            <w14:solidFill>
              <w14:schemeClr w14:val="tx1"/>
            </w14:solidFill>
          </w14:textFill>
        </w:rPr>
        <w:t>放经营</w:t>
      </w:r>
      <w:r>
        <w:rPr>
          <w:color w:val="000000" w:themeColor="text1"/>
          <w:sz w:val="28"/>
          <w:szCs w:val="28"/>
          <w14:textFill>
            <w14:solidFill>
              <w14:schemeClr w14:val="tx1"/>
            </w14:solidFill>
          </w14:textFill>
        </w:rPr>
        <w:t>，不得围合设计。(详细资料见地块出让文件)。</w:t>
      </w:r>
    </w:p>
    <w:p w14:paraId="6EF377D7">
      <w:pPr>
        <w:adjustRightInd w:val="0"/>
        <w:snapToGrid w:val="0"/>
        <w:spacing w:line="400" w:lineRule="exact"/>
        <w:ind w:firstLine="560" w:firstLineChars="200"/>
        <w:rPr>
          <w:color w:val="0C0C0C"/>
          <w:sz w:val="28"/>
          <w:szCs w:val="28"/>
        </w:rPr>
      </w:pPr>
      <w:r>
        <w:rPr>
          <w:color w:val="0C0C0C"/>
          <w:sz w:val="28"/>
          <w:szCs w:val="28"/>
        </w:rPr>
        <w:t>二、竞买资格要求及确认</w:t>
      </w:r>
    </w:p>
    <w:p w14:paraId="0D4960A7">
      <w:pPr>
        <w:widowControl/>
        <w:adjustRightInd w:val="0"/>
        <w:snapToGrid w:val="0"/>
        <w:spacing w:line="400" w:lineRule="exact"/>
        <w:ind w:firstLine="560" w:firstLineChars="200"/>
        <w:jc w:val="left"/>
      </w:pPr>
      <w:r>
        <w:rPr>
          <w:rFonts w:hint="eastAsia" w:ascii="宋体" w:hAnsi="宋体" w:cs="宋体"/>
          <w:sz w:val="28"/>
          <w:szCs w:val="28"/>
        </w:rPr>
        <w:t>中华人民共和国境内外的企业法人和其他组织</w:t>
      </w:r>
      <w:r>
        <w:rPr>
          <w:rFonts w:hint="eastAsia" w:ascii="宋体" w:hAnsi="宋体" w:cs="宋体"/>
          <w:color w:val="0C0C0C"/>
          <w:sz w:val="28"/>
          <w:szCs w:val="28"/>
          <w:shd w:val="clear" w:color="auto" w:fill="FFFFFF"/>
          <w:lang w:bidi="ar"/>
        </w:rPr>
        <w:t>，除法律、法规和省政府的闽政【</w:t>
      </w:r>
      <w:r>
        <w:rPr>
          <w:rFonts w:ascii="宋体" w:hAnsi="宋体" w:cs="宋体"/>
          <w:color w:val="0C0C0C"/>
          <w:sz w:val="28"/>
          <w:szCs w:val="28"/>
          <w:shd w:val="clear" w:color="auto" w:fill="FFFFFF"/>
          <w:lang w:bidi="ar"/>
        </w:rPr>
        <w:t>2017</w:t>
      </w:r>
      <w:r>
        <w:rPr>
          <w:rFonts w:hint="eastAsia" w:ascii="宋体" w:hAnsi="宋体" w:cs="宋体"/>
          <w:color w:val="0C0C0C"/>
          <w:sz w:val="28"/>
          <w:szCs w:val="28"/>
          <w:shd w:val="clear" w:color="auto" w:fill="FFFFFF"/>
          <w:lang w:bidi="ar"/>
        </w:rPr>
        <w:t>】</w:t>
      </w:r>
      <w:r>
        <w:rPr>
          <w:rFonts w:ascii="宋体" w:hAnsi="宋体" w:cs="宋体"/>
          <w:color w:val="0C0C0C"/>
          <w:sz w:val="28"/>
          <w:szCs w:val="28"/>
          <w:shd w:val="clear" w:color="auto" w:fill="FFFFFF"/>
          <w:lang w:bidi="ar"/>
        </w:rPr>
        <w:t>43</w:t>
      </w:r>
      <w:r>
        <w:rPr>
          <w:rFonts w:hint="eastAsia" w:ascii="宋体" w:hAnsi="宋体" w:cs="宋体"/>
          <w:color w:val="0C0C0C"/>
          <w:sz w:val="28"/>
          <w:szCs w:val="28"/>
          <w:shd w:val="clear" w:color="auto" w:fill="FFFFFF"/>
          <w:lang w:bidi="ar"/>
        </w:rPr>
        <w:t>号文件另有规定外</w:t>
      </w:r>
      <w:r>
        <w:rPr>
          <w:color w:val="333333"/>
          <w:sz w:val="28"/>
          <w:szCs w:val="28"/>
          <w:shd w:val="clear" w:color="auto" w:fill="FFFFFF"/>
        </w:rPr>
        <w:t>，均可申请参加本次国有建设用地使用权拍卖活动（申请人可以单独申请，也可以联合申请）。</w:t>
      </w:r>
    </w:p>
    <w:p w14:paraId="530DAFB9">
      <w:pPr>
        <w:widowControl/>
        <w:adjustRightInd w:val="0"/>
        <w:snapToGrid w:val="0"/>
        <w:spacing w:line="400" w:lineRule="exact"/>
        <w:ind w:firstLine="560" w:firstLineChars="200"/>
        <w:jc w:val="left"/>
      </w:pPr>
      <w:r>
        <w:rPr>
          <w:color w:val="0C0C0C"/>
          <w:sz w:val="28"/>
          <w:szCs w:val="28"/>
          <w:shd w:val="clear" w:color="auto" w:fill="FFFFFF"/>
        </w:rPr>
        <w:t>竞买人必须签署本地块《参与竞买国有建设用地使用权确认书》、《承诺书》、《国有建设用地使用权竞买保证书》，否则拍卖公司不予确认竞买资格，竞买人不得参加地块竞买。</w:t>
      </w:r>
    </w:p>
    <w:p w14:paraId="4F1B29DE">
      <w:pPr>
        <w:adjustRightInd w:val="0"/>
        <w:snapToGrid w:val="0"/>
        <w:spacing w:line="400" w:lineRule="exact"/>
        <w:ind w:firstLine="560" w:firstLineChars="200"/>
        <w:rPr>
          <w:color w:val="0C0C0C"/>
          <w:sz w:val="28"/>
          <w:szCs w:val="28"/>
        </w:rPr>
      </w:pPr>
      <w:r>
        <w:rPr>
          <w:color w:val="0C0C0C"/>
          <w:sz w:val="28"/>
          <w:szCs w:val="28"/>
        </w:rPr>
        <w:t>三、 确定竞得人方式</w:t>
      </w:r>
    </w:p>
    <w:p w14:paraId="6022056F">
      <w:pPr>
        <w:adjustRightInd w:val="0"/>
        <w:snapToGrid w:val="0"/>
        <w:spacing w:line="400" w:lineRule="exact"/>
        <w:ind w:firstLine="560" w:firstLineChars="200"/>
        <w:rPr>
          <w:color w:val="000000" w:themeColor="text1"/>
          <w:sz w:val="28"/>
          <w:szCs w:val="28"/>
          <w14:textFill>
            <w14:solidFill>
              <w14:schemeClr w14:val="tx1"/>
            </w14:solidFill>
          </w14:textFill>
        </w:rPr>
      </w:pPr>
      <w:r>
        <w:rPr>
          <w:sz w:val="28"/>
          <w:szCs w:val="28"/>
        </w:rPr>
        <w:t>该宗地以权属净地并采取“</w:t>
      </w:r>
      <w:r>
        <w:rPr>
          <w:b/>
          <w:bCs/>
          <w:sz w:val="28"/>
          <w:szCs w:val="28"/>
        </w:rPr>
        <w:t>竞地价</w:t>
      </w:r>
      <w:r>
        <w:rPr>
          <w:sz w:val="28"/>
          <w:szCs w:val="28"/>
        </w:rPr>
        <w:t>”方式公开</w:t>
      </w:r>
      <w:r>
        <w:rPr>
          <w:bCs/>
          <w:sz w:val="28"/>
          <w:szCs w:val="28"/>
        </w:rPr>
        <w:t>拍卖出让</w:t>
      </w:r>
      <w:r>
        <w:rPr>
          <w:sz w:val="28"/>
          <w:szCs w:val="28"/>
        </w:rPr>
        <w:t>，</w:t>
      </w:r>
      <w:r>
        <w:rPr>
          <w:color w:val="000000" w:themeColor="text1"/>
          <w:sz w:val="28"/>
          <w:szCs w:val="28"/>
          <w14:textFill>
            <w14:solidFill>
              <w14:schemeClr w14:val="tx1"/>
            </w14:solidFill>
          </w14:textFill>
        </w:rPr>
        <w:t>拍卖起始价5200万元，加价幅度50万元，按价高者得原则确定竞得人。</w:t>
      </w:r>
    </w:p>
    <w:p w14:paraId="143760B9">
      <w:pPr>
        <w:adjustRightInd w:val="0"/>
        <w:snapToGrid w:val="0"/>
        <w:spacing w:line="400" w:lineRule="exact"/>
        <w:ind w:firstLine="560" w:firstLineChars="200"/>
        <w:rPr>
          <w:color w:val="000000" w:themeColor="text1"/>
          <w:sz w:val="28"/>
          <w:szCs w:val="28"/>
          <w14:textFill>
            <w14:solidFill>
              <w14:schemeClr w14:val="tx1"/>
            </w14:solidFill>
          </w14:textFill>
        </w:rPr>
      </w:pPr>
      <w:r>
        <w:rPr>
          <w:color w:val="000000" w:themeColor="text1"/>
          <w:kern w:val="0"/>
          <w:sz w:val="28"/>
          <w:szCs w:val="28"/>
          <w14:textFill>
            <w14:solidFill>
              <w14:schemeClr w14:val="tx1"/>
            </w14:solidFill>
          </w14:textFill>
        </w:rPr>
        <w:t>四、</w:t>
      </w:r>
      <w:r>
        <w:rPr>
          <w:color w:val="000000" w:themeColor="text1"/>
          <w:sz w:val="28"/>
          <w:szCs w:val="28"/>
          <w14:textFill>
            <w14:solidFill>
              <w14:schemeClr w14:val="tx1"/>
            </w14:solidFill>
          </w14:textFill>
        </w:rPr>
        <w:t>竞买保证金</w:t>
      </w:r>
    </w:p>
    <w:p w14:paraId="2B86542D">
      <w:pPr>
        <w:adjustRightInd w:val="0"/>
        <w:snapToGrid w:val="0"/>
        <w:spacing w:line="400" w:lineRule="exact"/>
        <w:ind w:firstLine="557" w:firstLineChars="199"/>
        <w:rPr>
          <w:sz w:val="28"/>
          <w:szCs w:val="28"/>
        </w:rPr>
      </w:pPr>
      <w:r>
        <w:rPr>
          <w:color w:val="000000" w:themeColor="text1"/>
          <w:sz w:val="28"/>
          <w:szCs w:val="28"/>
          <w14:textFill>
            <w14:solidFill>
              <w14:schemeClr w14:val="tx1"/>
            </w14:solidFill>
          </w14:textFill>
        </w:rPr>
        <w:t>参加本次竞买保证金：PS拍-2025-08号地块为人民币壹仟</w:t>
      </w:r>
      <w:r>
        <w:rPr>
          <w:sz w:val="28"/>
          <w:szCs w:val="28"/>
        </w:rPr>
        <w:t>零</w:t>
      </w:r>
      <w:r>
        <w:rPr>
          <w:color w:val="000000" w:themeColor="text1"/>
          <w:sz w:val="28"/>
          <w:szCs w:val="28"/>
          <w14:textFill>
            <w14:solidFill>
              <w14:schemeClr w14:val="tx1"/>
            </w14:solidFill>
          </w14:textFill>
        </w:rPr>
        <w:t>伍拾万元整（¥1050万元）。竞买保证金须在2025年6月2</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日17时30分之前</w:t>
      </w:r>
      <w:r>
        <w:rPr>
          <w:sz w:val="28"/>
          <w:szCs w:val="28"/>
        </w:rPr>
        <w:t>缴纳至拍卖人指定的银行账户，并注明交易项目名称。支付的竞买保证金需不属</w:t>
      </w:r>
      <w:r>
        <w:rPr>
          <w:color w:val="0C0C0C"/>
          <w:sz w:val="28"/>
          <w:szCs w:val="28"/>
        </w:rPr>
        <w:t>于房地产开发贷款、银行理财、募集、发行债券、信托计划、资产管理计划等融资资金，涉及购地的全部资金均为本单位</w:t>
      </w:r>
      <w:bookmarkStart w:id="2" w:name="_GoBack"/>
      <w:bookmarkEnd w:id="2"/>
      <w:r>
        <w:rPr>
          <w:color w:val="0C0C0C"/>
          <w:sz w:val="28"/>
          <w:szCs w:val="28"/>
        </w:rPr>
        <w:t>合规自有资金</w:t>
      </w:r>
      <w:r>
        <w:rPr>
          <w:sz w:val="28"/>
          <w:szCs w:val="28"/>
        </w:rPr>
        <w:t>。</w:t>
      </w:r>
    </w:p>
    <w:p w14:paraId="5B581A50">
      <w:pPr>
        <w:adjustRightInd w:val="0"/>
        <w:snapToGrid w:val="0"/>
        <w:spacing w:line="400" w:lineRule="exact"/>
        <w:ind w:firstLine="557" w:firstLineChars="199"/>
        <w:rPr>
          <w:sz w:val="28"/>
          <w:szCs w:val="28"/>
          <w:highlight w:val="yellow"/>
        </w:rPr>
      </w:pPr>
      <w:r>
        <w:rPr>
          <w:sz w:val="28"/>
          <w:szCs w:val="28"/>
          <w:shd w:val="clear" w:color="auto" w:fill="FFFFFF"/>
        </w:rPr>
        <w:t>1、开户行：中国工商银行股份有限公司莆田城厢支行，开户单位：莆田市自然资源局，账号：1405010129219999961；2、开户行：中国农业银行股份有限公司莆田市府分理处，开户单位：莆田市自然资源局，账号：13441501040004271；3、开户行：中国邮政储蓄银行股份有限公司莆田市城厢区支行，开户单位：莆田市自然资源局，账号：935006010010706888；4、开户行：中国建设银行股份有限公司莆田荔城支行，开户单位：莆田市自然资源局，账号：35050163620709333999；5、开户行：兴业银行莆田城厢支行，开户单位：莆田市自然资源局，账号：145050100100390000；6、开户行：福建莆田农村商业银行股份有限公司城厢支行，开户单位：莆田市自然资源局，账号：9040210010010000183096。</w:t>
      </w:r>
    </w:p>
    <w:p w14:paraId="5DF65257">
      <w:pPr>
        <w:adjustRightInd w:val="0"/>
        <w:snapToGrid w:val="0"/>
        <w:spacing w:line="400" w:lineRule="exact"/>
        <w:ind w:firstLine="560" w:firstLineChars="200"/>
        <w:rPr>
          <w:color w:val="0C0C0C"/>
          <w:sz w:val="28"/>
          <w:szCs w:val="28"/>
        </w:rPr>
      </w:pPr>
      <w:r>
        <w:rPr>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4DC1C74B">
      <w:pPr>
        <w:adjustRightInd w:val="0"/>
        <w:snapToGrid w:val="0"/>
        <w:spacing w:line="400" w:lineRule="exact"/>
        <w:ind w:firstLine="557" w:firstLineChars="199"/>
        <w:rPr>
          <w:color w:val="0C0C0C"/>
          <w:sz w:val="28"/>
          <w:szCs w:val="28"/>
        </w:rPr>
      </w:pPr>
      <w:r>
        <w:rPr>
          <w:color w:val="0C0C0C"/>
          <w:sz w:val="28"/>
          <w:szCs w:val="28"/>
        </w:rPr>
        <w:t>五、出让价款支付要求</w:t>
      </w:r>
    </w:p>
    <w:p w14:paraId="4DE375F6">
      <w:pPr>
        <w:adjustRightInd w:val="0"/>
        <w:snapToGrid w:val="0"/>
        <w:spacing w:line="400" w:lineRule="exact"/>
        <w:ind w:firstLine="557" w:firstLineChars="199"/>
        <w:rPr>
          <w:color w:val="000000"/>
          <w:sz w:val="28"/>
          <w:szCs w:val="28"/>
        </w:rPr>
      </w:pPr>
      <w:bookmarkStart w:id="1" w:name="_Hlk181802570"/>
      <w:r>
        <w:rPr>
          <w:color w:val="000000" w:themeColor="text1"/>
          <w:sz w:val="28"/>
          <w:szCs w:val="28"/>
          <w14:textFill>
            <w14:solidFill>
              <w14:schemeClr w14:val="tx1"/>
            </w14:solidFill>
          </w14:textFill>
        </w:rPr>
        <w:t>该地块土地出让金缴纳时间为第一期自《国有建设用地使用权出让合同》签订之日起一个月内缴纳土地出让金价款50%，</w:t>
      </w:r>
      <w:r>
        <w:rPr>
          <w:color w:val="000000"/>
          <w:sz w:val="28"/>
          <w:szCs w:val="28"/>
        </w:rPr>
        <w:t>第二期自《国有建设用地使用权出让合同》签订之日起</w:t>
      </w:r>
      <w:r>
        <w:rPr>
          <w:sz w:val="28"/>
          <w:szCs w:val="28"/>
        </w:rPr>
        <w:t>两</w:t>
      </w:r>
      <w:r>
        <w:rPr>
          <w:color w:val="000000"/>
          <w:sz w:val="28"/>
          <w:szCs w:val="28"/>
        </w:rPr>
        <w:t>个月内再缴纳土地出让金价款50%。</w:t>
      </w:r>
    </w:p>
    <w:bookmarkEnd w:id="1"/>
    <w:p w14:paraId="1EE599AA">
      <w:pPr>
        <w:adjustRightInd w:val="0"/>
        <w:snapToGrid w:val="0"/>
        <w:spacing w:line="400" w:lineRule="exact"/>
        <w:ind w:firstLine="557" w:firstLineChars="199"/>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六、购买材料时间</w:t>
      </w:r>
    </w:p>
    <w:p w14:paraId="6944C4C7">
      <w:pPr>
        <w:adjustRightInd w:val="0"/>
        <w:snapToGrid w:val="0"/>
        <w:spacing w:line="400" w:lineRule="exact"/>
        <w:ind w:firstLine="557" w:firstLineChars="199"/>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有意竞买者请于2025年5月31日至2025年6月2</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日期间（正常上班时间）到莆田市政务服务中心三层代理机构服务区购买拍卖会文件资料，购买时不必提供证明其身份的任何资料及联系电话等相关信息；拍卖文件每份售价人民币壹佰元整（￥100元），售后不退。</w:t>
      </w:r>
    </w:p>
    <w:p w14:paraId="0E3E0513">
      <w:pPr>
        <w:adjustRightInd w:val="0"/>
        <w:snapToGrid w:val="0"/>
        <w:spacing w:line="400" w:lineRule="exact"/>
        <w:ind w:firstLine="557" w:firstLineChars="199"/>
        <w:rPr>
          <w:color w:val="0C0C0C"/>
          <w:sz w:val="28"/>
          <w:szCs w:val="28"/>
        </w:rPr>
      </w:pPr>
      <w:r>
        <w:rPr>
          <w:color w:val="0C0C0C"/>
          <w:sz w:val="28"/>
          <w:szCs w:val="28"/>
        </w:rPr>
        <w:t>七、</w:t>
      </w:r>
      <w:r>
        <w:rPr>
          <w:color w:val="000000" w:themeColor="text1"/>
          <w:sz w:val="28"/>
          <w:szCs w:val="28"/>
          <w14:textFill>
            <w14:solidFill>
              <w14:schemeClr w14:val="tx1"/>
            </w14:solidFill>
          </w14:textFill>
        </w:rPr>
        <w:t>看样时间2025年5月31日至2025年6月2</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日，有意竞买者可自行踏</w:t>
      </w:r>
      <w:r>
        <w:rPr>
          <w:color w:val="0C0C0C"/>
          <w:sz w:val="28"/>
          <w:szCs w:val="28"/>
        </w:rPr>
        <w:t>勘现场，需由拍卖人引导的，可与</w:t>
      </w:r>
      <w:r>
        <w:rPr>
          <w:sz w:val="28"/>
          <w:szCs w:val="28"/>
        </w:rPr>
        <w:t>厦门会丰拍卖有限责任公司</w:t>
      </w:r>
      <w:r>
        <w:rPr>
          <w:color w:val="0C0C0C"/>
          <w:sz w:val="28"/>
          <w:szCs w:val="28"/>
        </w:rPr>
        <w:t>联系。</w:t>
      </w:r>
    </w:p>
    <w:p w14:paraId="5261527C">
      <w:pPr>
        <w:pStyle w:val="2"/>
        <w:adjustRightInd w:val="0"/>
        <w:snapToGrid w:val="0"/>
        <w:spacing w:line="400" w:lineRule="exact"/>
        <w:ind w:firstLine="560" w:firstLineChars="200"/>
        <w:jc w:val="both"/>
        <w:rPr>
          <w:rFonts w:hint="eastAsia"/>
          <w:color w:val="000000" w:themeColor="text1"/>
          <w:sz w:val="28"/>
          <w:szCs w:val="28"/>
          <w:lang w:val="en-US" w:eastAsia="zh-CN"/>
          <w14:textFill>
            <w14:solidFill>
              <w14:schemeClr w14:val="tx1"/>
            </w14:solidFill>
          </w14:textFill>
        </w:rPr>
      </w:pPr>
      <w:r>
        <w:rPr>
          <w:color w:val="000000" w:themeColor="text1"/>
          <w:sz w:val="28"/>
          <w:szCs w:val="28"/>
          <w14:textFill>
            <w14:solidFill>
              <w14:schemeClr w14:val="tx1"/>
            </w14:solidFill>
          </w14:textFill>
        </w:rPr>
        <w:t>八、</w:t>
      </w:r>
      <w:r>
        <w:rPr>
          <w:rFonts w:hint="eastAsia"/>
          <w:color w:val="000000" w:themeColor="text1"/>
          <w:sz w:val="28"/>
          <w:szCs w:val="28"/>
          <w:lang w:val="en-US" w:eastAsia="zh-CN"/>
          <w14:textFill>
            <w14:solidFill>
              <w14:schemeClr w14:val="tx1"/>
            </w14:solidFill>
          </w14:textFill>
        </w:rPr>
        <w:t>特别提示</w:t>
      </w:r>
    </w:p>
    <w:p w14:paraId="0A88AE11">
      <w:pPr>
        <w:adjustRightInd w:val="0"/>
        <w:snapToGrid w:val="0"/>
        <w:spacing w:line="400" w:lineRule="exact"/>
        <w:ind w:firstLine="557" w:firstLineChars="199"/>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该宗地接受联合竞买（不超过两个联合竞买人），联合竞买人必须都是企业法人，应在竞买前签署联合竞买协议书。若联合竞买成功的，则两个竞买人应作为共同受让人签订《国有建设用地使用权出让合同》（下称“出让合同”）及办理国有建设用地使用权不动产权证，受让人共同享有出让合同的权利并承担连带义务</w:t>
      </w:r>
      <w:r>
        <w:rPr>
          <w:rFonts w:hint="eastAsia"/>
          <w:color w:val="000000" w:themeColor="text1"/>
          <w:sz w:val="28"/>
          <w:szCs w:val="28"/>
          <w:lang w:eastAsia="zh-CN"/>
          <w14:textFill>
            <w14:solidFill>
              <w14:schemeClr w14:val="tx1"/>
            </w14:solidFill>
          </w14:textFill>
        </w:rPr>
        <w:t>。联合竞买人应指定一家企业法人作为土地出让金的缴纳主体，出让金票据开具给指定的缴纳主体，缴纳主体在实际缴款时应注明“代竞买联合体缴交”的内容。</w:t>
      </w:r>
      <w:r>
        <w:rPr>
          <w:rFonts w:hint="eastAsia"/>
          <w:color w:val="000000" w:themeColor="text1"/>
          <w:sz w:val="28"/>
          <w:szCs w:val="28"/>
          <w14:textFill>
            <w14:solidFill>
              <w14:schemeClr w14:val="tx1"/>
            </w14:solidFill>
          </w14:textFill>
        </w:rPr>
        <w:t>地上建筑物竣工后办理房屋所有权首次登记时，可按受让人联合竞买协议书约定的房屋所有权归属，分别办理各自的房屋所有权首次登记，并按份享有相应的分摊土地使用权。</w:t>
      </w:r>
    </w:p>
    <w:p w14:paraId="043D51DD">
      <w:pPr>
        <w:adjustRightInd w:val="0"/>
        <w:snapToGrid w:val="0"/>
        <w:spacing w:line="400" w:lineRule="exact"/>
        <w:ind w:firstLine="557" w:firstLineChars="199"/>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竞得人在签订《国有建设用地使用权出让合同》的同时，应与城厢区人民政府签订《莆田城市会客厅</w:t>
      </w:r>
      <w:r>
        <w:rPr>
          <w:rFonts w:hint="eastAsia" w:ascii="宋体" w:hAnsi="宋体" w:cs="宋体"/>
          <w:sz w:val="28"/>
          <w:szCs w:val="28"/>
        </w:rPr>
        <w:t>(城厢区木兰溪法治文化公园北侧地块)</w:t>
      </w:r>
      <w:r>
        <w:rPr>
          <w:color w:val="000000" w:themeColor="text1"/>
          <w:sz w:val="28"/>
          <w:szCs w:val="28"/>
          <w14:textFill>
            <w14:solidFill>
              <w14:schemeClr w14:val="tx1"/>
            </w14:solidFill>
          </w14:textFill>
        </w:rPr>
        <w:t>出让地块建设监管协议》，具体内容以《莆田市城厢区人民政府关于城厢区木兰溪法治文化公园北侧地块</w:t>
      </w:r>
      <w:r>
        <w:rPr>
          <w:rFonts w:hint="eastAsia"/>
          <w:color w:val="000000" w:themeColor="text1"/>
          <w:sz w:val="28"/>
          <w:szCs w:val="28"/>
          <w:lang w:val="en-US" w:eastAsia="zh-CN"/>
          <w14:textFill>
            <w14:solidFill>
              <w14:schemeClr w14:val="tx1"/>
            </w14:solidFill>
          </w14:textFill>
        </w:rPr>
        <w:t>出让相</w:t>
      </w:r>
      <w:r>
        <w:rPr>
          <w:color w:val="000000" w:themeColor="text1"/>
          <w:sz w:val="28"/>
          <w:szCs w:val="28"/>
          <w14:textFill>
            <w14:solidFill>
              <w14:schemeClr w14:val="tx1"/>
            </w14:solidFill>
          </w14:textFill>
        </w:rPr>
        <w:t>关事宜的函》（莆城政函〔2025〕</w:t>
      </w:r>
      <w:r>
        <w:rPr>
          <w:rFonts w:hint="eastAsia"/>
          <w:color w:val="000000" w:themeColor="text1"/>
          <w:sz w:val="28"/>
          <w:szCs w:val="28"/>
          <w:lang w:val="en-US" w:eastAsia="zh-CN"/>
          <w14:textFill>
            <w14:solidFill>
              <w14:schemeClr w14:val="tx1"/>
            </w14:solidFill>
          </w14:textFill>
        </w:rPr>
        <w:t>101</w:t>
      </w:r>
      <w:r>
        <w:rPr>
          <w:color w:val="000000" w:themeColor="text1"/>
          <w:sz w:val="28"/>
          <w:szCs w:val="28"/>
          <w14:textFill>
            <w14:solidFill>
              <w14:schemeClr w14:val="tx1"/>
            </w14:solidFill>
          </w14:textFill>
        </w:rPr>
        <w:t>号）为准，并详见《莆田城市会客厅</w:t>
      </w:r>
      <w:r>
        <w:rPr>
          <w:rFonts w:hint="eastAsia" w:ascii="宋体" w:hAnsi="宋体" w:cs="宋体"/>
          <w:sz w:val="28"/>
          <w:szCs w:val="28"/>
        </w:rPr>
        <w:t>(城厢区木兰溪法治文化公园北侧地块)</w:t>
      </w:r>
      <w:r>
        <w:rPr>
          <w:color w:val="000000" w:themeColor="text1"/>
          <w:sz w:val="28"/>
          <w:szCs w:val="28"/>
          <w14:textFill>
            <w14:solidFill>
              <w14:schemeClr w14:val="tx1"/>
            </w14:solidFill>
          </w14:textFill>
        </w:rPr>
        <w:t>出让地块建设监管协议》。</w:t>
      </w:r>
    </w:p>
    <w:p w14:paraId="2D10FC2A">
      <w:pPr>
        <w:adjustRightInd w:val="0"/>
        <w:snapToGrid w:val="0"/>
        <w:spacing w:line="400" w:lineRule="exact"/>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九、本局对本《公告》有最终解释权。</w:t>
      </w:r>
    </w:p>
    <w:p w14:paraId="73DA8DAA">
      <w:pPr>
        <w:adjustRightInd w:val="0"/>
        <w:snapToGrid w:val="0"/>
        <w:spacing w:line="400" w:lineRule="exact"/>
        <w:ind w:firstLine="557" w:firstLineChars="199"/>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详情以本次提供的拍卖会资料为准。</w:t>
      </w:r>
    </w:p>
    <w:p w14:paraId="2F0A7930">
      <w:pPr>
        <w:adjustRightInd w:val="0"/>
        <w:snapToGrid w:val="0"/>
        <w:spacing w:line="400" w:lineRule="exact"/>
        <w:ind w:firstLine="557" w:firstLineChars="199"/>
        <w:rPr>
          <w:color w:val="000000" w:themeColor="text1"/>
          <w:sz w:val="24"/>
          <w14:textFill>
            <w14:solidFill>
              <w14:schemeClr w14:val="tx1"/>
            </w14:solidFill>
          </w14:textFill>
        </w:rPr>
      </w:pPr>
      <w:r>
        <w:rPr>
          <w:color w:val="000000" w:themeColor="text1"/>
          <w:sz w:val="28"/>
          <w:szCs w:val="28"/>
          <w14:textFill>
            <w14:solidFill>
              <w14:schemeClr w14:val="tx1"/>
            </w14:solidFill>
          </w14:textFill>
        </w:rPr>
        <w:t>联系电话：</w:t>
      </w:r>
      <w:r>
        <w:rPr>
          <w:color w:val="000000" w:themeColor="text1"/>
          <w:sz w:val="30"/>
          <w14:textFill>
            <w14:solidFill>
              <w14:schemeClr w14:val="tx1"/>
            </w14:solidFill>
          </w14:textFill>
        </w:rPr>
        <w:t>18105948699</w:t>
      </w:r>
      <w:r>
        <w:rPr>
          <w:color w:val="000000" w:themeColor="text1"/>
          <w:sz w:val="28"/>
          <w:szCs w:val="28"/>
          <w14:textFill>
            <w14:solidFill>
              <w14:schemeClr w14:val="tx1"/>
            </w14:solidFill>
          </w14:textFill>
        </w:rPr>
        <w:t>　　</w:t>
      </w:r>
      <w:r>
        <w:rPr>
          <w:color w:val="000000" w:themeColor="text1"/>
          <w:sz w:val="24"/>
          <w14:textFill>
            <w14:solidFill>
              <w14:schemeClr w14:val="tx1"/>
            </w14:solidFill>
          </w14:textFill>
        </w:rPr>
        <w:t>　　　　　　　　　　</w:t>
      </w:r>
      <w:r>
        <w:rPr>
          <w:rFonts w:hint="eastAsia"/>
          <w:color w:val="000000" w:themeColor="text1"/>
          <w:sz w:val="28"/>
          <w:szCs w:val="36"/>
          <w:lang w:val="en-US" w:eastAsia="zh-CN"/>
          <w14:textFill>
            <w14:solidFill>
              <w14:schemeClr w14:val="tx1"/>
            </w14:solidFill>
          </w14:textFill>
        </w:rPr>
        <w:t xml:space="preserve"> </w:t>
      </w:r>
      <w:r>
        <w:rPr>
          <w:color w:val="000000" w:themeColor="text1"/>
          <w:sz w:val="28"/>
          <w:szCs w:val="36"/>
          <w14:textFill>
            <w14:solidFill>
              <w14:schemeClr w14:val="tx1"/>
            </w14:solidFill>
          </w14:textFill>
        </w:rPr>
        <w:t>莆田市自然资源局</w:t>
      </w:r>
    </w:p>
    <w:p w14:paraId="3FD7F902">
      <w:pPr>
        <w:spacing w:line="400" w:lineRule="exact"/>
        <w:ind w:firstLine="557" w:firstLineChars="199"/>
        <w:jc w:val="center"/>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 xml:space="preserve">                                        </w:t>
      </w:r>
      <w:r>
        <w:rPr>
          <w:color w:val="000000" w:themeColor="text1"/>
          <w:sz w:val="28"/>
          <w:szCs w:val="28"/>
          <w14:textFill>
            <w14:solidFill>
              <w14:schemeClr w14:val="tx1"/>
            </w14:solidFill>
          </w14:textFill>
        </w:rPr>
        <w:t>二</w:t>
      </w:r>
      <w:r>
        <w:rPr>
          <w:rFonts w:hint="eastAsia" w:ascii="宋体" w:hAnsi="宋体"/>
          <w:color w:val="000000" w:themeColor="text1"/>
          <w:sz w:val="28"/>
          <w:szCs w:val="28"/>
          <w14:textFill>
            <w14:solidFill>
              <w14:schemeClr w14:val="tx1"/>
            </w14:solidFill>
          </w14:textFill>
        </w:rPr>
        <w:t>O</w:t>
      </w:r>
      <w:r>
        <w:rPr>
          <w:color w:val="000000" w:themeColor="text1"/>
          <w:sz w:val="28"/>
          <w:szCs w:val="28"/>
          <w14:textFill>
            <w14:solidFill>
              <w14:schemeClr w14:val="tx1"/>
            </w14:solidFill>
          </w14:textFill>
        </w:rPr>
        <w:t>二五年五月三十一日</w:t>
      </w:r>
      <w:bookmarkEnd w:id="0"/>
    </w:p>
    <w:sectPr>
      <w:pgSz w:w="11906" w:h="16838"/>
      <w:pgMar w:top="851" w:right="737" w:bottom="851" w:left="73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4ZmJhZGYzNTIyZjE3YTliNTZlMmI4NTA4MjZkNmMifQ=="/>
  </w:docVars>
  <w:rsids>
    <w:rsidRoot w:val="00691E8D"/>
    <w:rsid w:val="000574F1"/>
    <w:rsid w:val="000653C3"/>
    <w:rsid w:val="0007174D"/>
    <w:rsid w:val="000B3F07"/>
    <w:rsid w:val="000B4289"/>
    <w:rsid w:val="001175EF"/>
    <w:rsid w:val="001756C2"/>
    <w:rsid w:val="001C569B"/>
    <w:rsid w:val="0022466C"/>
    <w:rsid w:val="00225AC6"/>
    <w:rsid w:val="00265074"/>
    <w:rsid w:val="00276B09"/>
    <w:rsid w:val="002B4111"/>
    <w:rsid w:val="002B72AC"/>
    <w:rsid w:val="002C02CE"/>
    <w:rsid w:val="002E5642"/>
    <w:rsid w:val="002E64D9"/>
    <w:rsid w:val="003103CB"/>
    <w:rsid w:val="003253E8"/>
    <w:rsid w:val="003963CA"/>
    <w:rsid w:val="003E7C67"/>
    <w:rsid w:val="00440408"/>
    <w:rsid w:val="0047601D"/>
    <w:rsid w:val="0048424A"/>
    <w:rsid w:val="004A4A2D"/>
    <w:rsid w:val="004B3A4D"/>
    <w:rsid w:val="004D780A"/>
    <w:rsid w:val="004E6CA8"/>
    <w:rsid w:val="004E7E7C"/>
    <w:rsid w:val="005209D3"/>
    <w:rsid w:val="00531B7B"/>
    <w:rsid w:val="00537011"/>
    <w:rsid w:val="00555EF1"/>
    <w:rsid w:val="005C1721"/>
    <w:rsid w:val="005D0773"/>
    <w:rsid w:val="005D16E1"/>
    <w:rsid w:val="005D4DA3"/>
    <w:rsid w:val="005E1AC4"/>
    <w:rsid w:val="00691E8D"/>
    <w:rsid w:val="00697B62"/>
    <w:rsid w:val="006A5415"/>
    <w:rsid w:val="006C1187"/>
    <w:rsid w:val="006E0A07"/>
    <w:rsid w:val="007072F9"/>
    <w:rsid w:val="00717955"/>
    <w:rsid w:val="00772CFB"/>
    <w:rsid w:val="007B1AF2"/>
    <w:rsid w:val="008110FA"/>
    <w:rsid w:val="00863FD0"/>
    <w:rsid w:val="00871F95"/>
    <w:rsid w:val="008738E9"/>
    <w:rsid w:val="008A49FC"/>
    <w:rsid w:val="008A5FC4"/>
    <w:rsid w:val="009417D5"/>
    <w:rsid w:val="00955C2A"/>
    <w:rsid w:val="00965454"/>
    <w:rsid w:val="009F7BBE"/>
    <w:rsid w:val="00A01E51"/>
    <w:rsid w:val="00A448B6"/>
    <w:rsid w:val="00A87A38"/>
    <w:rsid w:val="00AC7C2F"/>
    <w:rsid w:val="00B41FE4"/>
    <w:rsid w:val="00B570C9"/>
    <w:rsid w:val="00B6102F"/>
    <w:rsid w:val="00B62517"/>
    <w:rsid w:val="00B937CF"/>
    <w:rsid w:val="00BE2BB6"/>
    <w:rsid w:val="00C17CF0"/>
    <w:rsid w:val="00C2453F"/>
    <w:rsid w:val="00C275FF"/>
    <w:rsid w:val="00C62E51"/>
    <w:rsid w:val="00C72829"/>
    <w:rsid w:val="00C9219C"/>
    <w:rsid w:val="00CB1C63"/>
    <w:rsid w:val="00CD5D68"/>
    <w:rsid w:val="00D01DB0"/>
    <w:rsid w:val="00D22166"/>
    <w:rsid w:val="00DA3538"/>
    <w:rsid w:val="00DC3593"/>
    <w:rsid w:val="00DC39BA"/>
    <w:rsid w:val="00E0439F"/>
    <w:rsid w:val="00EA0023"/>
    <w:rsid w:val="00F53E06"/>
    <w:rsid w:val="00F6586E"/>
    <w:rsid w:val="00F800D9"/>
    <w:rsid w:val="00F85338"/>
    <w:rsid w:val="00FB1A09"/>
    <w:rsid w:val="00FB6592"/>
    <w:rsid w:val="00FC27DF"/>
    <w:rsid w:val="00FE2817"/>
    <w:rsid w:val="00FF3754"/>
    <w:rsid w:val="00FF553C"/>
    <w:rsid w:val="00FF74D7"/>
    <w:rsid w:val="02306FA6"/>
    <w:rsid w:val="02BC1D16"/>
    <w:rsid w:val="02DA1F3A"/>
    <w:rsid w:val="02E51C21"/>
    <w:rsid w:val="03171459"/>
    <w:rsid w:val="04F01EE9"/>
    <w:rsid w:val="05217479"/>
    <w:rsid w:val="05227F70"/>
    <w:rsid w:val="053C4AE3"/>
    <w:rsid w:val="06734FF2"/>
    <w:rsid w:val="07651475"/>
    <w:rsid w:val="08F55D20"/>
    <w:rsid w:val="09730F4E"/>
    <w:rsid w:val="0A2F1883"/>
    <w:rsid w:val="0A3B13D6"/>
    <w:rsid w:val="0B1E0C43"/>
    <w:rsid w:val="0B755D69"/>
    <w:rsid w:val="0BA9676E"/>
    <w:rsid w:val="0BC8771C"/>
    <w:rsid w:val="0BED6A14"/>
    <w:rsid w:val="0DD95C10"/>
    <w:rsid w:val="0E6B4C23"/>
    <w:rsid w:val="0F0547E3"/>
    <w:rsid w:val="0F1A5A12"/>
    <w:rsid w:val="0F2A5FF8"/>
    <w:rsid w:val="0F6B6D3C"/>
    <w:rsid w:val="0FD15B41"/>
    <w:rsid w:val="104C36C7"/>
    <w:rsid w:val="126F08F1"/>
    <w:rsid w:val="12A6008B"/>
    <w:rsid w:val="12FE1C75"/>
    <w:rsid w:val="13523013"/>
    <w:rsid w:val="153D3797"/>
    <w:rsid w:val="157961AD"/>
    <w:rsid w:val="15FB06EE"/>
    <w:rsid w:val="161E1F16"/>
    <w:rsid w:val="16F13FCB"/>
    <w:rsid w:val="17345F47"/>
    <w:rsid w:val="17571CE1"/>
    <w:rsid w:val="181635BD"/>
    <w:rsid w:val="18167EB8"/>
    <w:rsid w:val="19BB08C0"/>
    <w:rsid w:val="1B006383"/>
    <w:rsid w:val="1B1F6FB9"/>
    <w:rsid w:val="1B4D4296"/>
    <w:rsid w:val="1C006A5E"/>
    <w:rsid w:val="1C465F4C"/>
    <w:rsid w:val="1D036806"/>
    <w:rsid w:val="1D1D719C"/>
    <w:rsid w:val="1D352737"/>
    <w:rsid w:val="1D7E7D55"/>
    <w:rsid w:val="1E4B536D"/>
    <w:rsid w:val="20996CC7"/>
    <w:rsid w:val="20B322F1"/>
    <w:rsid w:val="21367509"/>
    <w:rsid w:val="23A645AD"/>
    <w:rsid w:val="24692587"/>
    <w:rsid w:val="264659B5"/>
    <w:rsid w:val="268E4018"/>
    <w:rsid w:val="26BE7752"/>
    <w:rsid w:val="2702368A"/>
    <w:rsid w:val="27473793"/>
    <w:rsid w:val="27EE00B2"/>
    <w:rsid w:val="280D1AC4"/>
    <w:rsid w:val="28935663"/>
    <w:rsid w:val="2A6C52BE"/>
    <w:rsid w:val="2C72245B"/>
    <w:rsid w:val="2C7546A3"/>
    <w:rsid w:val="2C7A3CC3"/>
    <w:rsid w:val="2CFF1BD0"/>
    <w:rsid w:val="2D363AC1"/>
    <w:rsid w:val="2E6D4DEF"/>
    <w:rsid w:val="2EAB2859"/>
    <w:rsid w:val="2EF57F78"/>
    <w:rsid w:val="2F522CD5"/>
    <w:rsid w:val="2FF54438"/>
    <w:rsid w:val="31771119"/>
    <w:rsid w:val="32146967"/>
    <w:rsid w:val="324A3ED3"/>
    <w:rsid w:val="33877A69"/>
    <w:rsid w:val="34FD7B87"/>
    <w:rsid w:val="364E0B69"/>
    <w:rsid w:val="36934FB0"/>
    <w:rsid w:val="37774E14"/>
    <w:rsid w:val="38104AD4"/>
    <w:rsid w:val="3895265A"/>
    <w:rsid w:val="38D1110E"/>
    <w:rsid w:val="3B3D2A8B"/>
    <w:rsid w:val="3C2272F6"/>
    <w:rsid w:val="3C577F8F"/>
    <w:rsid w:val="3C797AF3"/>
    <w:rsid w:val="3CB46D7D"/>
    <w:rsid w:val="3D864BBD"/>
    <w:rsid w:val="3E1B141C"/>
    <w:rsid w:val="3E2441F3"/>
    <w:rsid w:val="3E6D18D9"/>
    <w:rsid w:val="3F9609BC"/>
    <w:rsid w:val="403E177F"/>
    <w:rsid w:val="40BD5F12"/>
    <w:rsid w:val="41566655"/>
    <w:rsid w:val="4195603E"/>
    <w:rsid w:val="43CC5C4C"/>
    <w:rsid w:val="441F1E1D"/>
    <w:rsid w:val="4436448C"/>
    <w:rsid w:val="4528027B"/>
    <w:rsid w:val="46625A9C"/>
    <w:rsid w:val="46D70343"/>
    <w:rsid w:val="46F62724"/>
    <w:rsid w:val="47825D5C"/>
    <w:rsid w:val="49262DB0"/>
    <w:rsid w:val="49493DF9"/>
    <w:rsid w:val="4DAC603F"/>
    <w:rsid w:val="4F2A0C6A"/>
    <w:rsid w:val="50343201"/>
    <w:rsid w:val="50CD727E"/>
    <w:rsid w:val="50FD0D89"/>
    <w:rsid w:val="512D4000"/>
    <w:rsid w:val="51A76A58"/>
    <w:rsid w:val="51F37EF0"/>
    <w:rsid w:val="52065E75"/>
    <w:rsid w:val="528B637A"/>
    <w:rsid w:val="52E618F0"/>
    <w:rsid w:val="535B176B"/>
    <w:rsid w:val="53AD7D9F"/>
    <w:rsid w:val="556465AC"/>
    <w:rsid w:val="56242D6E"/>
    <w:rsid w:val="56E61DD1"/>
    <w:rsid w:val="582A64DE"/>
    <w:rsid w:val="592761E0"/>
    <w:rsid w:val="5B2D4472"/>
    <w:rsid w:val="5BDF6909"/>
    <w:rsid w:val="5BF40AEC"/>
    <w:rsid w:val="5CC76201"/>
    <w:rsid w:val="5D4B6E32"/>
    <w:rsid w:val="5E090ACF"/>
    <w:rsid w:val="5EF215DA"/>
    <w:rsid w:val="5FDB4F2F"/>
    <w:rsid w:val="61B37CD9"/>
    <w:rsid w:val="63D845E0"/>
    <w:rsid w:val="640A35A3"/>
    <w:rsid w:val="641A02DD"/>
    <w:rsid w:val="644D16E1"/>
    <w:rsid w:val="648A0240"/>
    <w:rsid w:val="64E831B8"/>
    <w:rsid w:val="656E5DB3"/>
    <w:rsid w:val="65BE1959"/>
    <w:rsid w:val="65F83D27"/>
    <w:rsid w:val="66B77E7A"/>
    <w:rsid w:val="67C12589"/>
    <w:rsid w:val="68336E40"/>
    <w:rsid w:val="68442DFB"/>
    <w:rsid w:val="68B910F3"/>
    <w:rsid w:val="69162970"/>
    <w:rsid w:val="6B204CD4"/>
    <w:rsid w:val="6B9876E6"/>
    <w:rsid w:val="6C496C32"/>
    <w:rsid w:val="6CA83959"/>
    <w:rsid w:val="6D4178E3"/>
    <w:rsid w:val="6FC767EC"/>
    <w:rsid w:val="70221C74"/>
    <w:rsid w:val="706A7177"/>
    <w:rsid w:val="72B811C2"/>
    <w:rsid w:val="72EB459F"/>
    <w:rsid w:val="747F0001"/>
    <w:rsid w:val="753C5586"/>
    <w:rsid w:val="7563651F"/>
    <w:rsid w:val="76C45833"/>
    <w:rsid w:val="779017AB"/>
    <w:rsid w:val="78BC6BA9"/>
    <w:rsid w:val="792702FB"/>
    <w:rsid w:val="79D52FB4"/>
    <w:rsid w:val="7A1B30F3"/>
    <w:rsid w:val="7A2D1EA0"/>
    <w:rsid w:val="7B771885"/>
    <w:rsid w:val="7BBF5950"/>
    <w:rsid w:val="7CE4022F"/>
    <w:rsid w:val="7D45285A"/>
    <w:rsid w:val="7D682F94"/>
    <w:rsid w:val="7D764543"/>
    <w:rsid w:val="7DDC7906"/>
    <w:rsid w:val="7DF13D7C"/>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qFormat="1" w:unhideWhenUsed="0" w:uiPriority="0"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Body Text"/>
    <w:basedOn w:val="1"/>
    <w:qFormat/>
    <w:uiPriority w:val="0"/>
    <w:pPr>
      <w:spacing w:after="120"/>
    </w:pPr>
  </w:style>
  <w:style w:type="paragraph" w:styleId="4">
    <w:name w:val="Date"/>
    <w:basedOn w:val="1"/>
    <w:next w:val="1"/>
    <w:link w:val="24"/>
    <w:semiHidden/>
    <w:unhideWhenUsed/>
    <w:qFormat/>
    <w:uiPriority w:val="99"/>
    <w:pPr>
      <w:ind w:left="100" w:leftChars="2500"/>
    </w:pPr>
  </w:style>
  <w:style w:type="paragraph" w:styleId="5">
    <w:name w:val="Balloon Text"/>
    <w:basedOn w:val="1"/>
    <w:link w:val="23"/>
    <w:semiHidden/>
    <w:unhideWhenUsed/>
    <w:qFormat/>
    <w:uiPriority w:val="99"/>
    <w:rPr>
      <w:sz w:val="18"/>
      <w:szCs w:val="18"/>
    </w:rPr>
  </w:style>
  <w:style w:type="paragraph" w:styleId="6">
    <w:name w:val="footer"/>
    <w:basedOn w:val="1"/>
    <w:link w:val="28"/>
    <w:unhideWhenUsed/>
    <w:qFormat/>
    <w:uiPriority w:val="99"/>
    <w:pPr>
      <w:tabs>
        <w:tab w:val="center" w:pos="4153"/>
        <w:tab w:val="right" w:pos="8306"/>
      </w:tabs>
      <w:snapToGrid w:val="0"/>
      <w:jc w:val="left"/>
    </w:pPr>
    <w:rPr>
      <w:sz w:val="18"/>
      <w:szCs w:val="18"/>
    </w:rPr>
  </w:style>
  <w:style w:type="paragraph" w:styleId="7">
    <w:name w:val="header"/>
    <w:basedOn w:val="1"/>
    <w:link w:val="27"/>
    <w:unhideWhenUsed/>
    <w:qFormat/>
    <w:uiPriority w:val="99"/>
    <w:pPr>
      <w:tabs>
        <w:tab w:val="center" w:pos="4153"/>
        <w:tab w:val="right" w:pos="8306"/>
      </w:tabs>
      <w:snapToGrid w:val="0"/>
      <w:jc w:val="center"/>
    </w:pPr>
    <w:rPr>
      <w:sz w:val="18"/>
      <w:szCs w:val="18"/>
    </w:rPr>
  </w:style>
  <w:style w:type="paragraph" w:styleId="8">
    <w:name w:val="Normal (Web)"/>
    <w:basedOn w:val="1"/>
    <w:semiHidden/>
    <w:unhideWhenUsed/>
    <w:qFormat/>
    <w:uiPriority w:val="99"/>
    <w:pPr>
      <w:jc w:val="left"/>
    </w:pPr>
    <w:rPr>
      <w:kern w:val="0"/>
      <w:sz w:val="24"/>
    </w:rPr>
  </w:style>
  <w:style w:type="paragraph" w:styleId="9">
    <w:name w:val="Body Text First Indent"/>
    <w:basedOn w:val="3"/>
    <w:qFormat/>
    <w:uiPriority w:val="0"/>
    <w:pPr>
      <w:ind w:firstLine="420" w:firstLineChars="100"/>
    </w:pPr>
  </w:style>
  <w:style w:type="character" w:styleId="12">
    <w:name w:val="FollowedHyperlink"/>
    <w:basedOn w:val="11"/>
    <w:semiHidden/>
    <w:unhideWhenUsed/>
    <w:qFormat/>
    <w:uiPriority w:val="99"/>
    <w:rPr>
      <w:color w:val="800080"/>
      <w:u w:val="none"/>
    </w:rPr>
  </w:style>
  <w:style w:type="character" w:styleId="13">
    <w:name w:val="Emphasis"/>
    <w:basedOn w:val="11"/>
    <w:qFormat/>
    <w:uiPriority w:val="20"/>
    <w:rPr>
      <w:i/>
    </w:rPr>
  </w:style>
  <w:style w:type="character" w:styleId="14">
    <w:name w:val="HTML Definition"/>
    <w:basedOn w:val="11"/>
    <w:semiHidden/>
    <w:unhideWhenUsed/>
    <w:qFormat/>
    <w:uiPriority w:val="99"/>
  </w:style>
  <w:style w:type="character" w:styleId="15">
    <w:name w:val="HTML Typewriter"/>
    <w:basedOn w:val="11"/>
    <w:semiHidden/>
    <w:unhideWhenUsed/>
    <w:qFormat/>
    <w:uiPriority w:val="99"/>
    <w:rPr>
      <w:rFonts w:hint="default" w:ascii="monospace" w:hAnsi="monospace" w:eastAsia="monospace" w:cs="monospace"/>
      <w:sz w:val="20"/>
    </w:rPr>
  </w:style>
  <w:style w:type="character" w:styleId="16">
    <w:name w:val="HTML Acronym"/>
    <w:basedOn w:val="11"/>
    <w:semiHidden/>
    <w:unhideWhenUsed/>
    <w:qFormat/>
    <w:uiPriority w:val="99"/>
  </w:style>
  <w:style w:type="character" w:styleId="17">
    <w:name w:val="HTML Variable"/>
    <w:basedOn w:val="11"/>
    <w:semiHidden/>
    <w:unhideWhenUsed/>
    <w:qFormat/>
    <w:uiPriority w:val="99"/>
  </w:style>
  <w:style w:type="character" w:styleId="18">
    <w:name w:val="Hyperlink"/>
    <w:basedOn w:val="11"/>
    <w:semiHidden/>
    <w:unhideWhenUsed/>
    <w:qFormat/>
    <w:uiPriority w:val="99"/>
    <w:rPr>
      <w:color w:val="0000FF"/>
      <w:u w:val="none"/>
    </w:rPr>
  </w:style>
  <w:style w:type="character" w:styleId="19">
    <w:name w:val="HTML Code"/>
    <w:basedOn w:val="11"/>
    <w:semiHidden/>
    <w:unhideWhenUsed/>
    <w:qFormat/>
    <w:uiPriority w:val="99"/>
    <w:rPr>
      <w:rFonts w:hint="default" w:ascii="monospace" w:hAnsi="monospace" w:eastAsia="monospace" w:cs="monospace"/>
      <w:sz w:val="20"/>
    </w:rPr>
  </w:style>
  <w:style w:type="character" w:styleId="20">
    <w:name w:val="HTML Cite"/>
    <w:basedOn w:val="11"/>
    <w:semiHidden/>
    <w:unhideWhenUsed/>
    <w:qFormat/>
    <w:uiPriority w:val="99"/>
  </w:style>
  <w:style w:type="character" w:styleId="21">
    <w:name w:val="HTML Keyboard"/>
    <w:basedOn w:val="11"/>
    <w:semiHidden/>
    <w:unhideWhenUsed/>
    <w:qFormat/>
    <w:uiPriority w:val="99"/>
    <w:rPr>
      <w:rFonts w:ascii="monospace" w:hAnsi="monospace" w:eastAsia="monospace" w:cs="monospace"/>
      <w:sz w:val="20"/>
    </w:rPr>
  </w:style>
  <w:style w:type="character" w:styleId="22">
    <w:name w:val="HTML Sample"/>
    <w:basedOn w:val="11"/>
    <w:semiHidden/>
    <w:unhideWhenUsed/>
    <w:qFormat/>
    <w:uiPriority w:val="99"/>
    <w:rPr>
      <w:rFonts w:hint="default" w:ascii="monospace" w:hAnsi="monospace" w:eastAsia="monospace" w:cs="monospace"/>
    </w:rPr>
  </w:style>
  <w:style w:type="character" w:customStyle="1" w:styleId="23">
    <w:name w:val="批注框文本 字符"/>
    <w:basedOn w:val="11"/>
    <w:link w:val="5"/>
    <w:semiHidden/>
    <w:qFormat/>
    <w:uiPriority w:val="99"/>
    <w:rPr>
      <w:rFonts w:ascii="Times New Roman" w:hAnsi="Times New Roman" w:eastAsia="宋体" w:cs="Times New Roman"/>
      <w:sz w:val="18"/>
      <w:szCs w:val="18"/>
    </w:rPr>
  </w:style>
  <w:style w:type="character" w:customStyle="1" w:styleId="24">
    <w:name w:val="日期 字符"/>
    <w:basedOn w:val="11"/>
    <w:link w:val="4"/>
    <w:semiHidden/>
    <w:qFormat/>
    <w:uiPriority w:val="99"/>
    <w:rPr>
      <w:rFonts w:ascii="Times New Roman" w:hAnsi="Times New Roman" w:eastAsia="宋体" w:cs="Times New Roman"/>
      <w:szCs w:val="24"/>
    </w:rPr>
  </w:style>
  <w:style w:type="character" w:customStyle="1" w:styleId="25">
    <w:name w:val="first-child"/>
    <w:basedOn w:val="11"/>
    <w:qFormat/>
    <w:uiPriority w:val="0"/>
  </w:style>
  <w:style w:type="character" w:customStyle="1" w:styleId="26">
    <w:name w:val="15"/>
    <w:qFormat/>
    <w:uiPriority w:val="0"/>
    <w:rPr>
      <w:rFonts w:hint="eastAsia" w:ascii="仿宋_GB2312" w:hAnsi="Tahoma" w:eastAsia="仿宋_GB2312" w:cs="Times New Roman"/>
      <w:b/>
      <w:bCs/>
      <w:spacing w:val="-20"/>
      <w:sz w:val="32"/>
      <w:szCs w:val="32"/>
    </w:rPr>
  </w:style>
  <w:style w:type="character" w:customStyle="1" w:styleId="27">
    <w:name w:val="页眉 字符"/>
    <w:basedOn w:val="11"/>
    <w:link w:val="7"/>
    <w:qFormat/>
    <w:uiPriority w:val="99"/>
    <w:rPr>
      <w:kern w:val="2"/>
      <w:sz w:val="18"/>
      <w:szCs w:val="18"/>
    </w:rPr>
  </w:style>
  <w:style w:type="character" w:customStyle="1" w:styleId="28">
    <w:name w:val="页脚 字符"/>
    <w:basedOn w:val="11"/>
    <w:link w:val="6"/>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1934</Words>
  <Characters>2148</Characters>
  <Lines>14</Lines>
  <Paragraphs>3</Paragraphs>
  <TotalTime>4</TotalTime>
  <ScaleCrop>false</ScaleCrop>
  <LinksUpToDate>false</LinksUpToDate>
  <CharactersWithSpaces>2204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张伟</cp:lastModifiedBy>
  <cp:lastPrinted>2025-05-30T09:30:00Z</cp:lastPrinted>
  <dcterms:modified xsi:type="dcterms:W3CDTF">2025-05-30T11:35:43Z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ED58F7FA981F4B91997997862657980C_13</vt:lpwstr>
  </property>
  <property fmtid="{D5CDD505-2E9C-101B-9397-08002B2CF9AE}" pid="4" name="KSOTemplateDocerSaveRecord">
    <vt:lpwstr>eyJoZGlkIjoiNGUyNjQyMjFlOTQ2MDBmMzg4MmQ2OGIwOGIzMTIwZGYifQ==</vt:lpwstr>
  </property>
</Properties>
</file>